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东莞滨海湾Token公共服务平台投资项目尽职调查项目报价文件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u w:val="single"/>
        </w:rPr>
      </w:pPr>
      <w:r>
        <w:rPr>
          <w:rFonts w:hint="eastAsia" w:cs="Times New Roman"/>
          <w:b w:val="0"/>
          <w:bCs/>
          <w:sz w:val="24"/>
          <w:szCs w:val="24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u w:val="none"/>
        </w:rPr>
        <w:t>：</w:t>
      </w:r>
    </w:p>
    <w:p w14:paraId="397A9D2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444" w:firstLineChars="200"/>
        <w:textAlignment w:val="auto"/>
        <w:rPr>
          <w:rFonts w:hint="eastAsia" w:cs="Times New Roman"/>
          <w:spacing w:val="-6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4"/>
          <w:szCs w:val="24"/>
        </w:rPr>
        <w:t>我方自愿参加贵司组织的</w:t>
      </w:r>
      <w:r>
        <w:rPr>
          <w:rFonts w:hint="eastAsia" w:cs="Times New Roman"/>
          <w:spacing w:val="-6"/>
          <w:sz w:val="24"/>
          <w:szCs w:val="24"/>
          <w:u w:val="single"/>
          <w:lang w:val="en-US" w:eastAsia="zh-CN"/>
        </w:rPr>
        <w:t>东莞滨海湾Token公共服务平台投资项目尽职调查项目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4"/>
          <w:szCs w:val="24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4"/>
          <w:szCs w:val="24"/>
          <w:lang w:val="en-US" w:eastAsia="zh-CN"/>
        </w:rPr>
        <w:t>报价为：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总价¥</w:t>
      </w:r>
      <w:r>
        <w:rPr>
          <w:rFonts w:hint="eastAsia" w:cs="Times New Roman"/>
          <w:spacing w:val="-6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pacing w:val="-6"/>
          <w:sz w:val="24"/>
          <w:szCs w:val="24"/>
          <w:lang w:val="en-US" w:eastAsia="zh-CN"/>
        </w:rPr>
        <w:t>元（</w:t>
      </w:r>
      <w:r>
        <w:rPr>
          <w:rFonts w:hint="eastAsia" w:cs="Times New Roman"/>
          <w:spacing w:val="-6"/>
          <w:sz w:val="24"/>
          <w:szCs w:val="24"/>
          <w:lang w:val="en-US" w:eastAsia="zh-CN"/>
        </w:rPr>
        <w:t>大写人民币</w:t>
      </w:r>
      <w:r>
        <w:rPr>
          <w:rFonts w:hint="eastAsia" w:cs="Times New Roman"/>
          <w:spacing w:val="-6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cs="Times New Roman"/>
          <w:spacing w:val="-6"/>
          <w:sz w:val="24"/>
          <w:szCs w:val="24"/>
          <w:u w:val="none"/>
          <w:lang w:val="en-US" w:eastAsia="zh-CN"/>
        </w:rPr>
        <w:t>，含税6%</w:t>
      </w:r>
      <w:r>
        <w:rPr>
          <w:rFonts w:hint="eastAsia" w:cs="Times New Roman"/>
          <w:spacing w:val="-6"/>
          <w:sz w:val="24"/>
          <w:szCs w:val="24"/>
          <w:u w:val="none"/>
          <w:lang w:val="en-US" w:eastAsia="zh-CN"/>
        </w:rPr>
        <w:t>）</w:t>
      </w:r>
    </w:p>
    <w:tbl>
      <w:tblPr>
        <w:tblW w:w="88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087"/>
        <w:gridCol w:w="1775"/>
        <w:gridCol w:w="1313"/>
      </w:tblGrid>
      <w:tr w14:paraId="64BBF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8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尽职调</w:t>
            </w:r>
            <w:bookmarkStart w:id="2" w:name="_GoBack"/>
            <w:bookmarkEnd w:id="2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查资料清单分项报价</w:t>
            </w:r>
          </w:p>
        </w:tc>
      </w:tr>
      <w:tr w14:paraId="59C7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A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2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单项报价（元）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93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F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AA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一、公司基本情况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7C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A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60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（一）主体资格与股权结构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9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E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1C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4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5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（二）财务报表与审计（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D7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2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18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BF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1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（三）资产（截至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日）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6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8D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C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3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A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（四）负债与或有事项（截至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日）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0C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B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C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（五）损益、税务与其他（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2023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月至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2026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月）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3B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FA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6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3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二、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Token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中心专项资料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6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9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5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（一）已建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Token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中心总体情况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B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FC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76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（二）</w:t>
            </w:r>
            <w:r>
              <w:rPr>
                <w:rStyle w:val="29"/>
                <w:rFonts w:eastAsia="楷体_GB2312"/>
                <w:sz w:val="21"/>
                <w:szCs w:val="21"/>
                <w:bdr w:val="none" w:color="auto" w:sz="0" w:space="0"/>
                <w:lang w:val="en-US" w:eastAsia="zh-CN" w:bidi="ar"/>
              </w:rPr>
              <w:t>Token</w:t>
            </w:r>
            <w:r>
              <w:rPr>
                <w:rStyle w:val="30"/>
                <w:rFonts w:hAnsi="宋体"/>
                <w:sz w:val="21"/>
                <w:szCs w:val="21"/>
                <w:bdr w:val="none" w:color="auto" w:sz="0" w:space="0"/>
                <w:lang w:val="en-US" w:eastAsia="zh-CN" w:bidi="ar"/>
              </w:rPr>
              <w:t>中心运营数据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F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8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B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C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（三）设备与技术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54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78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3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（四）过往项目情况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55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E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6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C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三、其他费用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4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8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28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1.项目差旅费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9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F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5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85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548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东莞滨海湾Token公共服务平台投资项目尽职调查项目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7B41A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3DF96EF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66541037"/>
      <w:bookmarkStart w:id="1" w:name="_Toc417050365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东莞滨海湾Token公共服务平台投资项目尽职调查项目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1F5D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6"/>
          <w:szCs w:val="36"/>
          <w:lang w:val="en-US" w:eastAsia="zh-CN" w:bidi="ar-SA"/>
        </w:rPr>
        <w:t>六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、不属于失信被执行人证明</w:t>
      </w:r>
    </w:p>
    <w:p w14:paraId="6C675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lang w:val="en-US" w:eastAsia="zh-CN"/>
        </w:rPr>
        <w:t>信用中国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www.creditchina.gov.cn</w:t>
      </w:r>
      <w:r>
        <w:rPr>
          <w:rFonts w:hint="eastAsia" w:cs="Times New Roman"/>
          <w:lang w:val="en-US" w:eastAsia="zh-CN"/>
        </w:rPr>
        <w:t>）</w:t>
      </w:r>
    </w:p>
    <w:p w14:paraId="7B81569E">
      <w:pPr>
        <w:rPr>
          <w:rFonts w:hint="default" w:cs="Times New Roman"/>
          <w:lang w:val="en-US" w:eastAsia="zh-CN"/>
        </w:rPr>
      </w:pPr>
    </w:p>
    <w:p w14:paraId="1A472597">
      <w:pPr>
        <w:rPr>
          <w:rFonts w:hint="default" w:cs="Times New Roman"/>
          <w:lang w:val="en-US" w:eastAsia="zh-CN"/>
        </w:rPr>
      </w:pPr>
      <w:r>
        <w:rPr>
          <w:rFonts w:hint="default" w:cs="Times New Roman"/>
          <w:lang w:val="en-US" w:eastAsia="zh-CN"/>
        </w:rPr>
        <w:br w:type="page"/>
      </w:r>
    </w:p>
    <w:p w14:paraId="007631DE">
      <w:pPr>
        <w:rPr>
          <w:rFonts w:hint="default" w:cs="Times New Roman"/>
          <w:lang w:val="en-US" w:eastAsia="zh-CN"/>
        </w:rPr>
        <w:sectPr>
          <w:headerReference r:id="rId3" w:type="default"/>
          <w:footerReference r:id="rId4" w:type="default"/>
          <w:pgSz w:w="11849" w:h="16781"/>
          <w:pgMar w:top="2098" w:right="1474" w:bottom="1984" w:left="1531" w:header="851" w:footer="992" w:gutter="0"/>
          <w:cols w:space="0" w:num="1"/>
          <w:rtlGutter w:val="0"/>
          <w:docGrid w:type="linesAndChars" w:linePitch="577" w:charSpace="-1259"/>
        </w:sectPr>
      </w:pPr>
    </w:p>
    <w:p w14:paraId="3A6E2D00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lang w:val="en-US" w:eastAsia="zh-CN"/>
        </w:rPr>
        <w:t>中国政府采购网(www.ccgp.gov.cn)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七、报价需求响应承诺函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东莞滨海湾Token公共服务平台投资项目尽职调查项目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DD937C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br w:type="page"/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八、无关联关系书面承诺书</w:t>
      </w:r>
    </w:p>
    <w:p w14:paraId="2D5FF9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jc w:val="lef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致：东莞市滨海湾智慧城市运营服务有限公司</w:t>
      </w:r>
    </w:p>
    <w:p w14:paraId="5548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鉴于本公司（以下简称“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”）参与贵单位项目投标，为确保合作的公平、公正及合法性，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特此郑重承诺如下：</w:t>
      </w:r>
    </w:p>
    <w:p w14:paraId="191A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一、承诺主体信息</w:t>
      </w:r>
    </w:p>
    <w:p w14:paraId="50EC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公司名称：____________________</w:t>
      </w:r>
    </w:p>
    <w:p w14:paraId="228E7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统一社会信用代码/身份证号：____________________</w:t>
      </w:r>
    </w:p>
    <w:p w14:paraId="6362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二、关联关系声明</w:t>
      </w:r>
    </w:p>
    <w:p w14:paraId="01C2A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郑重声明，与贵单位（及其关联方）</w:t>
      </w:r>
      <w:r>
        <w:rPr>
          <w:rFonts w:hint="eastAsia" w:cs="Times New Roman"/>
          <w:color w:val="000000"/>
          <w:kern w:val="0"/>
          <w:sz w:val="28"/>
          <w:szCs w:val="28"/>
          <w:lang w:val="en-US" w:eastAsia="zh-CN" w:bidi="ar-SA"/>
        </w:rPr>
        <w:t>、各投标人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不存在以下任何一种形式的关联关系：</w:t>
      </w:r>
    </w:p>
    <w:p w14:paraId="44445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股权关系：不存在直接或间接持有贵单位股份的情形，也不存在被贵单位直接或间接持股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25%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的情形；</w:t>
      </w:r>
    </w:p>
    <w:p w14:paraId="738E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管理关系：不存在在贵单位担任董事、监事、高级管理人员（如总经理、财务负责人等）的情形；</w:t>
      </w:r>
    </w:p>
    <w:p w14:paraId="6CA2C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亲属关系：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（如为自然人）与贵单位的法定代表人、董事、监事、高级管理人员或核心经办人员不存在夫妻关系、直系血亲关系（如父母、子女）、三代以内旁系血亲关系（如兄弟姐妹、叔伯姑舅姨、堂表兄弟姐妹）或近姻亲关系；</w:t>
      </w:r>
    </w:p>
    <w:p w14:paraId="61261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4. 利益关系：不存在其他可能影响公正性的利益输送关系或隐性控制关系。</w:t>
      </w:r>
    </w:p>
    <w:p w14:paraId="46592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三、真实性与责任承担</w:t>
      </w:r>
    </w:p>
    <w:p w14:paraId="6D40B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1. 本承诺书所述内容真实、准确、完整，不存在任何虚假记载或误导性陈述。</w:t>
      </w:r>
    </w:p>
    <w:p w14:paraId="7B07F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2. 如在合作期间或事后核查中发现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违反本承诺，存在任何隐瞒的关联关系，贵单位有权立即取消合作资格、终止合同，并追究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的法律责任。</w:t>
      </w:r>
    </w:p>
    <w:p w14:paraId="5CFD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3. 若因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未如实披露关联关系给贵单位造成损失的，</w:t>
      </w: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愿意承担全部赔偿责任。</w:t>
      </w:r>
    </w:p>
    <w:p w14:paraId="3ECD2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四、其他</w:t>
      </w:r>
    </w:p>
    <w:p w14:paraId="2B9B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本承诺书自签署之日起生效。</w:t>
      </w:r>
    </w:p>
    <w:p w14:paraId="16D7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exact"/>
        <w:ind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特此承诺。</w:t>
      </w:r>
    </w:p>
    <w:p w14:paraId="58AE5B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 xml:space="preserve">                    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4C8136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360" w:lineRule="exact"/>
        <w:ind w:firstLine="548" w:firstLineChars="200"/>
        <w:jc w:val="center"/>
        <w:textAlignment w:val="auto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16DE3078">
      <w:pPr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4A4A1E93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  <w:t>九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、企业资质证明</w:t>
      </w:r>
    </w:p>
    <w:p w14:paraId="2E38EA40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98A1FED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十、团队成员资格证明</w:t>
      </w:r>
    </w:p>
    <w:p w14:paraId="4B520F2D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45F3ED70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十一、业绩证明</w:t>
      </w:r>
    </w:p>
    <w:p w14:paraId="419C6AFD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4B71AAA1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十、相关承诺书</w:t>
      </w:r>
    </w:p>
    <w:p w14:paraId="7150E442">
      <w:pPr>
        <w:pageBreakBefore w:val="0"/>
        <w:kinsoku/>
        <w:wordWrap/>
        <w:overflowPunct/>
        <w:bidi w:val="0"/>
        <w:adjustRightInd/>
        <w:snapToGrid/>
        <w:spacing w:line="240" w:lineRule="auto"/>
        <w:jc w:val="both"/>
        <w:rPr>
          <w:rFonts w:hint="default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0F0A5">
    <w:pPr>
      <w:pStyle w:val="8"/>
      <w:framePr w:wrap="around" w:vAnchor="text" w:hAnchor="margin" w:xAlign="center" w:y="1"/>
      <w:rPr>
        <w:rStyle w:val="15"/>
      </w:rPr>
    </w:pPr>
  </w:p>
  <w:p w14:paraId="6367E1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1BA1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725AB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F624D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612688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261C20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32052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51461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006B60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9C114E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E27034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02892"/>
    <w:rsid w:val="37760002"/>
    <w:rsid w:val="377D18F5"/>
    <w:rsid w:val="378A6A0A"/>
    <w:rsid w:val="378D1F72"/>
    <w:rsid w:val="379027EA"/>
    <w:rsid w:val="37A77147"/>
    <w:rsid w:val="37C07ABC"/>
    <w:rsid w:val="37DF23CF"/>
    <w:rsid w:val="37E335BC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E709D3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B541CC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9D275C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50CE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76418A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052414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7FE0C8D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AF96577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7E3805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95C18"/>
    <w:rsid w:val="6E6A7FDC"/>
    <w:rsid w:val="6E7066F8"/>
    <w:rsid w:val="6E76574F"/>
    <w:rsid w:val="6E7E60B8"/>
    <w:rsid w:val="6EB97A9A"/>
    <w:rsid w:val="6EBA3E17"/>
    <w:rsid w:val="6EC334AB"/>
    <w:rsid w:val="6ED372AA"/>
    <w:rsid w:val="6ED801B6"/>
    <w:rsid w:val="6EF844F8"/>
    <w:rsid w:val="6F1F44B1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DB5F66"/>
    <w:rsid w:val="76E060E7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172C02"/>
    <w:rsid w:val="7B2956D5"/>
    <w:rsid w:val="7B3C2868"/>
    <w:rsid w:val="7B7F481D"/>
    <w:rsid w:val="7B8E2C85"/>
    <w:rsid w:val="7BC4727D"/>
    <w:rsid w:val="7BC72729"/>
    <w:rsid w:val="7BD26C53"/>
    <w:rsid w:val="7BDC08DB"/>
    <w:rsid w:val="7BDF4EBD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675F23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36048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firstLine="0" w:firstLineChars="0"/>
    </w:pPr>
    <w:rPr>
      <w:rFonts w:ascii="Times New Roman" w:hAnsi="Times New Roman"/>
      <w:kern w:val="0"/>
      <w:sz w:val="20"/>
    </w:rPr>
  </w:style>
  <w:style w:type="paragraph" w:styleId="6">
    <w:name w:val="envelope return"/>
    <w:basedOn w:val="1"/>
    <w:qFormat/>
    <w:uiPriority w:val="0"/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4"/>
    <w:autoRedefine/>
    <w:qFormat/>
    <w:uiPriority w:val="0"/>
    <w:rPr>
      <w:sz w:val="31"/>
    </w:rPr>
  </w:style>
  <w:style w:type="character" w:customStyle="1" w:styleId="28">
    <w:name w:val="font81"/>
    <w:basedOn w:val="14"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29">
    <w:name w:val="font71"/>
    <w:basedOn w:val="14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30">
    <w:name w:val="font61"/>
    <w:basedOn w:val="14"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14</Pages>
  <Words>3042</Words>
  <Characters>3373</Characters>
  <Lines>1</Lines>
  <Paragraphs>2</Paragraphs>
  <TotalTime>2</TotalTime>
  <ScaleCrop>false</ScaleCrop>
  <LinksUpToDate>false</LinksUpToDate>
  <CharactersWithSpaces>3622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2026-07-09T07:03:57Z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9B1F99FA7ECA4DA6865DB0EDF197CE34_13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