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采购垂叶榕报价文件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701D07C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采购垂叶榕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</w:p>
    <w:p w14:paraId="366464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lang w:val="en-US" w:eastAsia="zh-CN"/>
        </w:rPr>
        <w:t>总价¥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元（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大写人民币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 xml:space="preserve"> ，税率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%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）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2" w:name="_GoBack"/>
      <w:bookmarkEnd w:id="2"/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采购垂叶榕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采购垂叶榕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6C675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lang w:val="en-US" w:eastAsia="zh-CN"/>
        </w:rPr>
        <w:t>信用中国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www.creditchina.gov.cn</w:t>
      </w:r>
      <w:r>
        <w:rPr>
          <w:rFonts w:hint="eastAsia" w:cs="Times New Roman"/>
          <w:lang w:val="en-US" w:eastAsia="zh-CN"/>
        </w:rPr>
        <w:t>）</w:t>
      </w:r>
    </w:p>
    <w:p w14:paraId="7B81569E">
      <w:pPr>
        <w:rPr>
          <w:rFonts w:hint="default" w:cs="Times New Roman"/>
          <w:lang w:val="en-US" w:eastAsia="zh-CN"/>
        </w:rPr>
      </w:pPr>
    </w:p>
    <w:p w14:paraId="1A472597">
      <w:pPr>
        <w:rPr>
          <w:rFonts w:hint="default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br w:type="page"/>
      </w:r>
    </w:p>
    <w:p w14:paraId="007631DE">
      <w:pPr>
        <w:rPr>
          <w:rFonts w:hint="default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2098" w:right="1474" w:bottom="1984" w:left="1531" w:header="851" w:footer="992" w:gutter="0"/>
          <w:cols w:space="0" w:num="1"/>
          <w:rtlGutter w:val="0"/>
          <w:docGrid w:type="linesAndChars" w:linePitch="577" w:charSpace="-1259"/>
        </w:sectPr>
      </w:pPr>
    </w:p>
    <w:p w14:paraId="3A6E2D00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lang w:val="en-US" w:eastAsia="zh-CN"/>
        </w:rPr>
        <w:t>中国政府采购网(www.ccgp.gov.cn)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采购垂叶榕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-SA"/>
        </w:rPr>
        <w:t>、各投标人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right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F624D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261C20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60F70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E335BC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132B30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7FE0C8D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44B1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1503</Words>
  <Characters>1612</Characters>
  <Lines>1</Lines>
  <Paragraphs>2</Paragraphs>
  <TotalTime>1</TotalTime>
  <ScaleCrop>false</ScaleCrop>
  <LinksUpToDate>false</LinksUpToDate>
  <CharactersWithSpaces>1852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2026-07-10T03:34:06Z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